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rPr>
          <w:sz w:val="16"/>
          <w:szCs w:val="16"/>
        </w:rPr>
      </w:pPr>
    </w:p>
    <w:p>
      <w:pPr>
        <w:spacing w:line="415" w:lineRule="exact"/>
        <w:jc w:val="center"/>
        <w:rPr>
          <w:rFonts w:ascii="华文中宋" w:hAnsi="华文中宋" w:eastAsia="华文中宋" w:cs="华文中宋"/>
          <w:sz w:val="36"/>
          <w:szCs w:val="36"/>
          <w:lang w:eastAsia="zh-CN"/>
        </w:rPr>
      </w:pPr>
      <w:r>
        <w:rPr>
          <w:rFonts w:ascii="华文中宋" w:hAnsi="华文中宋" w:eastAsia="华文中宋" w:cs="华文中宋"/>
          <w:spacing w:val="2"/>
          <w:sz w:val="36"/>
          <w:szCs w:val="36"/>
          <w:lang w:eastAsia="zh-CN"/>
        </w:rPr>
        <w:t>四</w:t>
      </w:r>
      <w:r>
        <w:rPr>
          <w:rFonts w:ascii="华文中宋" w:hAnsi="华文中宋" w:eastAsia="华文中宋" w:cs="华文中宋"/>
          <w:sz w:val="36"/>
          <w:szCs w:val="36"/>
          <w:lang w:eastAsia="zh-CN"/>
        </w:rPr>
        <w:t>川</w:t>
      </w:r>
      <w:r>
        <w:rPr>
          <w:rFonts w:ascii="华文中宋" w:hAnsi="华文中宋" w:eastAsia="华文中宋" w:cs="华文中宋"/>
          <w:spacing w:val="2"/>
          <w:sz w:val="36"/>
          <w:szCs w:val="36"/>
          <w:lang w:eastAsia="zh-CN"/>
        </w:rPr>
        <w:t>省</w:t>
      </w:r>
      <w:r>
        <w:rPr>
          <w:rFonts w:ascii="华文中宋" w:hAnsi="华文中宋" w:eastAsia="华文中宋" w:cs="华文中宋"/>
          <w:sz w:val="36"/>
          <w:szCs w:val="36"/>
          <w:lang w:eastAsia="zh-CN"/>
        </w:rPr>
        <w:t>科</w:t>
      </w:r>
      <w:r>
        <w:rPr>
          <w:rFonts w:ascii="华文中宋" w:hAnsi="华文中宋" w:eastAsia="华文中宋" w:cs="华文中宋"/>
          <w:spacing w:val="2"/>
          <w:sz w:val="36"/>
          <w:szCs w:val="36"/>
          <w:lang w:eastAsia="zh-CN"/>
        </w:rPr>
        <w:t>学</w:t>
      </w:r>
      <w:r>
        <w:rPr>
          <w:rFonts w:ascii="华文中宋" w:hAnsi="华文中宋" w:eastAsia="华文中宋" w:cs="华文中宋"/>
          <w:sz w:val="36"/>
          <w:szCs w:val="36"/>
          <w:lang w:eastAsia="zh-CN"/>
        </w:rPr>
        <w:t>技术</w:t>
      </w:r>
      <w:r>
        <w:rPr>
          <w:rFonts w:ascii="华文中宋" w:hAnsi="华文中宋" w:eastAsia="华文中宋" w:cs="华文中宋"/>
          <w:spacing w:val="2"/>
          <w:sz w:val="36"/>
          <w:szCs w:val="36"/>
          <w:lang w:eastAsia="zh-CN"/>
        </w:rPr>
        <w:t>奖</w:t>
      </w:r>
      <w:r>
        <w:rPr>
          <w:rFonts w:ascii="华文中宋" w:hAnsi="华文中宋" w:eastAsia="华文中宋" w:cs="华文中宋"/>
          <w:sz w:val="36"/>
          <w:szCs w:val="36"/>
          <w:lang w:eastAsia="zh-CN"/>
        </w:rPr>
        <w:t>科</w:t>
      </w:r>
      <w:r>
        <w:rPr>
          <w:rFonts w:ascii="华文中宋" w:hAnsi="华文中宋" w:eastAsia="华文中宋" w:cs="华文中宋"/>
          <w:spacing w:val="2"/>
          <w:sz w:val="36"/>
          <w:szCs w:val="36"/>
          <w:lang w:eastAsia="zh-CN"/>
        </w:rPr>
        <w:t>技</w:t>
      </w:r>
      <w:r>
        <w:rPr>
          <w:rFonts w:ascii="华文中宋" w:hAnsi="华文中宋" w:eastAsia="华文中宋" w:cs="华文中宋"/>
          <w:sz w:val="36"/>
          <w:szCs w:val="36"/>
          <w:lang w:eastAsia="zh-CN"/>
        </w:rPr>
        <w:t>进</w:t>
      </w:r>
      <w:r>
        <w:rPr>
          <w:rFonts w:ascii="华文中宋" w:hAnsi="华文中宋" w:eastAsia="华文中宋" w:cs="华文中宋"/>
          <w:spacing w:val="2"/>
          <w:sz w:val="36"/>
          <w:szCs w:val="36"/>
          <w:lang w:eastAsia="zh-CN"/>
        </w:rPr>
        <w:t>步</w:t>
      </w:r>
      <w:r>
        <w:rPr>
          <w:rFonts w:ascii="华文中宋" w:hAnsi="华文中宋" w:eastAsia="华文中宋" w:cs="华文中宋"/>
          <w:sz w:val="36"/>
          <w:szCs w:val="36"/>
          <w:lang w:eastAsia="zh-CN"/>
        </w:rPr>
        <w:t>类提</w:t>
      </w:r>
      <w:r>
        <w:rPr>
          <w:rFonts w:ascii="华文中宋" w:hAnsi="华文中宋" w:eastAsia="华文中宋" w:cs="华文中宋"/>
          <w:spacing w:val="2"/>
          <w:sz w:val="36"/>
          <w:szCs w:val="36"/>
          <w:lang w:eastAsia="zh-CN"/>
        </w:rPr>
        <w:t>名</w:t>
      </w:r>
      <w:r>
        <w:rPr>
          <w:rFonts w:ascii="华文中宋" w:hAnsi="华文中宋" w:eastAsia="华文中宋" w:cs="华文中宋"/>
          <w:sz w:val="36"/>
          <w:szCs w:val="36"/>
          <w:lang w:eastAsia="zh-CN"/>
        </w:rPr>
        <w:t>项</w:t>
      </w:r>
      <w:r>
        <w:rPr>
          <w:rFonts w:ascii="华文中宋" w:hAnsi="华文中宋" w:eastAsia="华文中宋" w:cs="华文中宋"/>
          <w:spacing w:val="2"/>
          <w:sz w:val="36"/>
          <w:szCs w:val="36"/>
          <w:lang w:eastAsia="zh-CN"/>
        </w:rPr>
        <w:t>目</w:t>
      </w:r>
      <w:r>
        <w:rPr>
          <w:rFonts w:ascii="华文中宋" w:hAnsi="华文中宋" w:eastAsia="华文中宋" w:cs="华文中宋"/>
          <w:sz w:val="36"/>
          <w:szCs w:val="36"/>
          <w:lang w:eastAsia="zh-CN"/>
        </w:rPr>
        <w:t>公示</w:t>
      </w:r>
    </w:p>
    <w:p>
      <w:pPr>
        <w:spacing w:before="7" w:line="160" w:lineRule="exact"/>
        <w:rPr>
          <w:sz w:val="16"/>
          <w:szCs w:val="16"/>
          <w:lang w:eastAsia="zh-CN"/>
        </w:rPr>
      </w:pPr>
    </w:p>
    <w:p>
      <w:pPr>
        <w:pStyle w:val="2"/>
        <w:spacing w:line="340" w:lineRule="auto"/>
        <w:ind w:left="0" w:right="3001" w:firstLine="567"/>
        <w:rPr>
          <w:rFonts w:cs="宋体"/>
          <w:b/>
          <w:spacing w:val="2"/>
          <w:sz w:val="28"/>
          <w:szCs w:val="28"/>
          <w:lang w:eastAsia="zh-CN"/>
        </w:rPr>
      </w:pPr>
    </w:p>
    <w:p>
      <w:pPr>
        <w:pStyle w:val="2"/>
        <w:spacing w:line="340" w:lineRule="auto"/>
        <w:ind w:left="0" w:right="3001" w:firstLine="567"/>
        <w:rPr>
          <w:rFonts w:cs="宋体"/>
          <w:b/>
          <w:sz w:val="28"/>
          <w:szCs w:val="28"/>
          <w:lang w:eastAsia="zh-CN"/>
        </w:rPr>
      </w:pPr>
      <w:r>
        <w:rPr>
          <w:rFonts w:cs="宋体"/>
          <w:b/>
          <w:spacing w:val="2"/>
          <w:sz w:val="28"/>
          <w:szCs w:val="28"/>
          <w:lang w:eastAsia="zh-CN"/>
        </w:rPr>
        <w:t>一</w:t>
      </w:r>
      <w:r>
        <w:rPr>
          <w:rFonts w:cs="宋体"/>
          <w:b/>
          <w:sz w:val="28"/>
          <w:szCs w:val="28"/>
          <w:lang w:eastAsia="zh-CN"/>
        </w:rPr>
        <w:t>、</w:t>
      </w:r>
      <w:r>
        <w:rPr>
          <w:rFonts w:cs="宋体"/>
          <w:b/>
          <w:spacing w:val="2"/>
          <w:sz w:val="28"/>
          <w:szCs w:val="28"/>
          <w:lang w:eastAsia="zh-CN"/>
        </w:rPr>
        <w:t>项</w:t>
      </w:r>
      <w:r>
        <w:rPr>
          <w:rFonts w:cs="宋体"/>
          <w:b/>
          <w:sz w:val="28"/>
          <w:szCs w:val="28"/>
          <w:lang w:eastAsia="zh-CN"/>
        </w:rPr>
        <w:t>目名称</w:t>
      </w:r>
    </w:p>
    <w:p>
      <w:pPr>
        <w:pStyle w:val="2"/>
        <w:spacing w:line="340" w:lineRule="auto"/>
        <w:ind w:left="0" w:right="-20" w:firstLine="567"/>
        <w:rPr>
          <w:rFonts w:cs="宋体"/>
          <w:lang w:eastAsia="zh-CN"/>
        </w:rPr>
      </w:pPr>
      <w:r>
        <w:rPr>
          <w:rFonts w:hint="eastAsia" w:cs="宋体"/>
          <w:lang w:eastAsia="zh-CN"/>
        </w:rPr>
        <w:t>稳定同位素技术在湿地生态系统保护中的应用</w:t>
      </w:r>
    </w:p>
    <w:p>
      <w:pPr>
        <w:pStyle w:val="2"/>
        <w:spacing w:line="340" w:lineRule="auto"/>
        <w:ind w:left="0" w:right="3001" w:firstLine="567"/>
        <w:rPr>
          <w:rFonts w:cs="宋体"/>
          <w:b/>
          <w:spacing w:val="2"/>
          <w:sz w:val="28"/>
          <w:szCs w:val="28"/>
          <w:lang w:eastAsia="zh-CN"/>
        </w:rPr>
      </w:pPr>
      <w:r>
        <w:rPr>
          <w:rFonts w:cs="宋体"/>
          <w:b/>
          <w:spacing w:val="2"/>
          <w:sz w:val="28"/>
          <w:szCs w:val="28"/>
          <w:lang w:eastAsia="zh-CN"/>
        </w:rPr>
        <w:t>二、提名单位(专家)意见</w:t>
      </w:r>
    </w:p>
    <w:p>
      <w:pPr>
        <w:pStyle w:val="2"/>
        <w:spacing w:line="340" w:lineRule="auto"/>
        <w:ind w:left="0" w:right="-20" w:firstLine="567"/>
        <w:rPr>
          <w:rFonts w:cs="宋体"/>
          <w:lang w:eastAsia="zh-CN"/>
        </w:rPr>
      </w:pPr>
      <w:r>
        <w:rPr>
          <w:rFonts w:cs="宋体"/>
          <w:lang w:eastAsia="zh-CN"/>
        </w:rPr>
        <w:t>《</w:t>
      </w:r>
      <w:r>
        <w:rPr>
          <w:rFonts w:hint="eastAsia" w:cs="宋体"/>
          <w:lang w:eastAsia="zh-CN"/>
        </w:rPr>
        <w:t>稳定同位素技术在湿地生态系统保护中的应用</w:t>
      </w:r>
      <w:r>
        <w:rPr>
          <w:rFonts w:cs="宋体"/>
          <w:lang w:eastAsia="zh-CN"/>
        </w:rPr>
        <w:t>》成果针对</w:t>
      </w:r>
      <w:r>
        <w:rPr>
          <w:rFonts w:hint="eastAsia" w:cs="宋体"/>
          <w:lang w:eastAsia="zh-CN"/>
        </w:rPr>
        <w:t>社会经济发展过程中高寒地区出现的一系列严重的环境问题，如植被退化、水土流失、沼泽干涸、湿地面积萎缩等。基于此开展人为干扰对湿地水生生物群落食物网结构和功能的影响研究。该项成果的应用对建议控制湿地系统放牧规模对于保护湿地生态系统的稳定性具有重要意义。本项目的研究结果可为湿地生态系统保护与管理提供理论依据，有利于湿地生态系统健康可持续发展；也为当地政府宏观决策提供参考，</w:t>
      </w:r>
      <w:r>
        <w:rPr>
          <w:rFonts w:cs="宋体"/>
          <w:lang w:eastAsia="zh-CN"/>
        </w:rPr>
        <w:t>具有较大的生态、社会和经济效益。</w:t>
      </w:r>
    </w:p>
    <w:p>
      <w:pPr>
        <w:pStyle w:val="2"/>
        <w:spacing w:line="340" w:lineRule="auto"/>
        <w:ind w:left="0" w:right="3001" w:firstLine="567"/>
        <w:rPr>
          <w:rFonts w:cs="宋体"/>
          <w:b/>
          <w:spacing w:val="2"/>
          <w:sz w:val="28"/>
          <w:szCs w:val="28"/>
          <w:lang w:eastAsia="zh-CN"/>
        </w:rPr>
      </w:pPr>
      <w:r>
        <w:rPr>
          <w:rFonts w:cs="宋体"/>
          <w:b/>
          <w:spacing w:val="2"/>
          <w:sz w:val="28"/>
          <w:szCs w:val="28"/>
          <w:lang w:eastAsia="zh-CN"/>
        </w:rPr>
        <w:t>三、项目简介</w:t>
      </w:r>
    </w:p>
    <w:p>
      <w:pPr>
        <w:pStyle w:val="2"/>
        <w:spacing w:line="340" w:lineRule="auto"/>
        <w:ind w:left="0" w:right="-20" w:firstLine="567"/>
        <w:rPr>
          <w:rFonts w:cs="宋体"/>
          <w:lang w:eastAsia="zh-CN"/>
        </w:rPr>
      </w:pPr>
      <w:r>
        <w:rPr>
          <w:rFonts w:hint="eastAsia" w:cs="宋体"/>
          <w:lang w:eastAsia="zh-CN"/>
        </w:rPr>
        <w:t>农业生产和人类其他活动方式的干扰改变了全球Ｎ循环过程。20世纪50年代以来，大量的合成肥料、牲畜粪便和城市污水等Ｎ源通过多种途径进入水域生态系统，对水域环境和水生生物安全构成严重威胁，特别是水体的富营养化导致生物多样性降低和有毒藻类（水华）产生，并通过食物链影响人类健康。因此，水体富营养化的早期监测显得极为重要。近年来，稳定碳、氮同位素技术的出现为研究水域生态环境安全提供了新的手段，碳同位素值可以反映出生物的碳源信息，而氮同位素值能够显示其营养级水平。本项目通过稳定碳、氮同位素方法已经成功用于评估和监测水生生态系统营养状况，形成成果如下。</w:t>
      </w:r>
    </w:p>
    <w:p>
      <w:pPr>
        <w:pStyle w:val="2"/>
        <w:spacing w:line="340" w:lineRule="auto"/>
        <w:ind w:left="0" w:right="-20" w:firstLine="567"/>
        <w:rPr>
          <w:rFonts w:cs="宋体"/>
          <w:lang w:eastAsia="zh-CN"/>
        </w:rPr>
      </w:pPr>
      <w:r>
        <w:rPr>
          <w:rFonts w:hint="eastAsia" w:cs="宋体"/>
          <w:lang w:eastAsia="zh-CN"/>
        </w:rPr>
        <w:t>若尔盖是世界上面积最大的高原沼泽湿地，被誉为“高原之肾”、“黄河蓄水池”，对于保护生物多样性、维持区域乃至全球C循环平衡以及保障地区社会经济可持续发展具有重要作用。随着20世纪70年代初的大规模挖沟排水工程及现代旅游业的快速崛起，若尔盖湿地出现了一系列严重的环境问题，如植被退化、水土流失、沼泽干涸、湿地面积萎缩等。基于此开展开展人为干扰对若尔盖湿地水生生物群落食物网结构和功能的影响研究。</w:t>
      </w:r>
    </w:p>
    <w:p>
      <w:pPr>
        <w:pStyle w:val="2"/>
        <w:spacing w:line="340" w:lineRule="auto"/>
        <w:ind w:left="0" w:right="-20" w:firstLine="567"/>
        <w:rPr>
          <w:rFonts w:cs="宋体"/>
          <w:lang w:eastAsia="zh-CN"/>
        </w:rPr>
      </w:pPr>
      <w:r>
        <w:rPr>
          <w:rFonts w:cs="宋体"/>
          <w:b/>
          <w:spacing w:val="2"/>
          <w:lang w:eastAsia="zh-CN"/>
        </w:rPr>
        <w:t>（一）主要技术成果</w:t>
      </w:r>
    </w:p>
    <w:p>
      <w:pPr>
        <w:pStyle w:val="2"/>
        <w:spacing w:line="340" w:lineRule="auto"/>
        <w:ind w:left="0" w:right="-20" w:firstLine="567"/>
        <w:rPr>
          <w:rFonts w:cs="宋体"/>
          <w:lang w:eastAsia="zh-CN"/>
        </w:rPr>
      </w:pPr>
      <w:r>
        <w:rPr>
          <w:rFonts w:hint="eastAsia" w:cs="宋体"/>
          <w:lang w:eastAsia="zh-CN"/>
        </w:rPr>
        <w:t>（1）若尔盖高寒湿地生态系统中外源性碳源（沿岸陆生优势植物）输入对该系统的稳定性有着十分重要的作用；</w:t>
      </w:r>
    </w:p>
    <w:p>
      <w:pPr>
        <w:pStyle w:val="2"/>
        <w:spacing w:line="340" w:lineRule="auto"/>
        <w:ind w:left="0" w:right="-20" w:firstLine="567"/>
        <w:rPr>
          <w:rFonts w:cs="宋体"/>
          <w:lang w:eastAsia="zh-CN"/>
        </w:rPr>
      </w:pPr>
      <w:r>
        <w:rPr>
          <w:rFonts w:hint="eastAsia" w:cs="宋体"/>
          <w:lang w:eastAsia="zh-CN"/>
        </w:rPr>
        <w:t>（2）目前若尔盖湿地水域生态系相对脆弱。</w:t>
      </w:r>
    </w:p>
    <w:p>
      <w:pPr>
        <w:pStyle w:val="2"/>
        <w:spacing w:line="340" w:lineRule="auto"/>
        <w:ind w:left="0" w:right="-20" w:firstLine="567"/>
        <w:rPr>
          <w:rFonts w:cs="宋体"/>
          <w:lang w:eastAsia="zh-CN"/>
        </w:rPr>
      </w:pPr>
      <w:r>
        <w:rPr>
          <w:rFonts w:hint="eastAsia" w:cs="宋体"/>
          <w:lang w:eastAsia="zh-CN"/>
        </w:rPr>
        <w:t>（3）POM、浮游动物适合作为若尔盖湿地水域环境中安全预警的指示生物。</w:t>
      </w:r>
    </w:p>
    <w:p>
      <w:pPr>
        <w:pStyle w:val="2"/>
        <w:spacing w:line="340" w:lineRule="auto"/>
        <w:ind w:left="0" w:right="-20" w:firstLine="567"/>
        <w:rPr>
          <w:rFonts w:cs="宋体"/>
          <w:lang w:eastAsia="zh-CN"/>
        </w:rPr>
      </w:pPr>
      <w:r>
        <w:rPr>
          <w:rFonts w:hint="eastAsia" w:cs="宋体"/>
          <w:lang w:eastAsia="zh-CN"/>
        </w:rPr>
        <w:t>（4）放牧干扰已经对该区域部分生物产生了负面影响；</w:t>
      </w:r>
    </w:p>
    <w:p>
      <w:pPr>
        <w:pStyle w:val="2"/>
        <w:spacing w:line="340" w:lineRule="auto"/>
        <w:ind w:left="0" w:right="-20" w:firstLine="567"/>
        <w:rPr>
          <w:rFonts w:cs="宋体"/>
          <w:lang w:eastAsia="zh-CN"/>
        </w:rPr>
      </w:pPr>
      <w:r>
        <w:rPr>
          <w:rFonts w:hint="eastAsia" w:cs="宋体"/>
          <w:lang w:eastAsia="zh-CN"/>
        </w:rPr>
        <w:t>（5）Layman的6个量化指标方法可以为进一步探究若尔盖湿地水域生态系统的稳定性和抵抗力提供一种定量判别方法。</w:t>
      </w:r>
    </w:p>
    <w:p>
      <w:pPr>
        <w:pStyle w:val="2"/>
        <w:spacing w:line="340" w:lineRule="auto"/>
        <w:ind w:left="0" w:right="-20" w:firstLine="567"/>
        <w:rPr>
          <w:rFonts w:cs="宋体"/>
          <w:b/>
          <w:spacing w:val="2"/>
          <w:lang w:eastAsia="zh-CN"/>
        </w:rPr>
      </w:pPr>
      <w:r>
        <w:rPr>
          <w:rFonts w:cs="宋体"/>
          <w:b/>
          <w:spacing w:val="2"/>
          <w:lang w:eastAsia="zh-CN"/>
        </w:rPr>
        <w:t>（二）证书、标准、论文和专利</w:t>
      </w:r>
    </w:p>
    <w:p>
      <w:pPr>
        <w:pStyle w:val="2"/>
        <w:spacing w:line="340" w:lineRule="auto"/>
        <w:ind w:left="0" w:right="-20" w:firstLine="567"/>
        <w:rPr>
          <w:rFonts w:cs="宋体"/>
          <w:lang w:eastAsia="zh-CN"/>
        </w:rPr>
      </w:pPr>
      <w:r>
        <w:rPr>
          <w:rFonts w:hint="eastAsia" w:cs="宋体"/>
          <w:lang w:eastAsia="zh-CN"/>
        </w:rPr>
        <w:t>发表论文</w:t>
      </w:r>
      <w:r>
        <w:rPr>
          <w:rFonts w:hint="eastAsia" w:cs="宋体"/>
          <w:lang w:val="en-US" w:eastAsia="zh-CN"/>
        </w:rPr>
        <w:t>5</w:t>
      </w:r>
      <w:r>
        <w:rPr>
          <w:rFonts w:hint="eastAsia" w:cs="宋体"/>
          <w:lang w:eastAsia="zh-CN"/>
        </w:rPr>
        <w:t>篇，其中S</w:t>
      </w:r>
      <w:r>
        <w:rPr>
          <w:rFonts w:cs="宋体"/>
          <w:lang w:eastAsia="zh-CN"/>
        </w:rPr>
        <w:t>IC</w:t>
      </w:r>
      <w:r>
        <w:rPr>
          <w:rFonts w:hint="eastAsia" w:cs="宋体"/>
          <w:lang w:eastAsia="zh-CN"/>
        </w:rPr>
        <w:t>收录1篇，其它核心论文4篇</w:t>
      </w:r>
      <w:r>
        <w:rPr>
          <w:rFonts w:cs="宋体"/>
          <w:lang w:eastAsia="zh-CN"/>
        </w:rPr>
        <w:t>。</w:t>
      </w:r>
    </w:p>
    <w:p>
      <w:pPr>
        <w:pStyle w:val="2"/>
        <w:spacing w:line="340" w:lineRule="auto"/>
        <w:ind w:left="0" w:right="-20" w:firstLine="567"/>
        <w:rPr>
          <w:rFonts w:cs="宋体"/>
          <w:b/>
          <w:spacing w:val="2"/>
          <w:lang w:eastAsia="zh-CN"/>
        </w:rPr>
      </w:pPr>
      <w:r>
        <w:rPr>
          <w:rFonts w:cs="宋体"/>
          <w:b/>
          <w:spacing w:val="2"/>
          <w:lang w:eastAsia="zh-CN"/>
        </w:rPr>
        <w:t>（</w:t>
      </w:r>
      <w:r>
        <w:rPr>
          <w:rFonts w:hint="eastAsia" w:cs="宋体"/>
          <w:b/>
          <w:spacing w:val="2"/>
          <w:lang w:eastAsia="zh-CN"/>
        </w:rPr>
        <w:t>三</w:t>
      </w:r>
      <w:r>
        <w:rPr>
          <w:rFonts w:cs="宋体"/>
          <w:b/>
          <w:spacing w:val="2"/>
          <w:lang w:eastAsia="zh-CN"/>
        </w:rPr>
        <w:t>）社会</w:t>
      </w:r>
      <w:r>
        <w:rPr>
          <w:rFonts w:hint="eastAsia" w:cs="宋体"/>
          <w:b/>
          <w:spacing w:val="2"/>
          <w:lang w:eastAsia="zh-CN"/>
        </w:rPr>
        <w:t>和</w:t>
      </w:r>
      <w:r>
        <w:rPr>
          <w:rFonts w:cs="宋体"/>
          <w:b/>
          <w:spacing w:val="2"/>
          <w:lang w:eastAsia="zh-CN"/>
        </w:rPr>
        <w:t>经济效益</w:t>
      </w:r>
    </w:p>
    <w:p>
      <w:pPr>
        <w:spacing w:line="360" w:lineRule="auto"/>
        <w:ind w:firstLine="480" w:firstLineChars="200"/>
        <w:rPr>
          <w:sz w:val="24"/>
          <w:szCs w:val="24"/>
          <w:lang w:eastAsia="zh-CN"/>
        </w:rPr>
      </w:pPr>
      <w:r>
        <w:rPr>
          <w:rFonts w:ascii="Times New Roman" w:hAnsi="Times New Roman" w:cs="Times New Roman"/>
          <w:sz w:val="24"/>
          <w:szCs w:val="24"/>
          <w:lang w:eastAsia="zh-CN"/>
        </w:rPr>
        <w:t>自项目实施以来，通过5年的研究与推广，在四川各地进行了多个湿地生态系统评价，通过在湿地</w:t>
      </w:r>
      <w:bookmarkStart w:id="0" w:name="_GoBack"/>
      <w:bookmarkEnd w:id="0"/>
      <w:r>
        <w:rPr>
          <w:rFonts w:ascii="Times New Roman" w:hAnsi="Times New Roman" w:cs="Times New Roman"/>
          <w:sz w:val="24"/>
          <w:szCs w:val="24"/>
          <w:lang w:eastAsia="zh-CN"/>
        </w:rPr>
        <w:t>食物网中氮稳定性同位素信号的研究，能较灵敏反应出放牧干扰的信息。POM、浮游动物与软体动物、鱼类相比更适合作为湿地水域环境中安全预警的指示生物。利用稳定碳、氮同位素技术的出现为研究水域生态环境安全提供了新的手段，碳同位素值可以反映出生物的碳源信息，而氮同位素值能够显示其营养级水平。目前，稳定碳、氮同位素方法已经成功用于评估和监测水生生态系统营养状况，与以往的评价方法相比，评价手段更加准确，缩短了评价周期，降低了评价成本，根据本项目的成果，管理部门可以因地制宜地筛选出更为有效的保护措施。因此，本项目具有较大的社会生态效益。</w:t>
      </w:r>
    </w:p>
    <w:p>
      <w:pPr>
        <w:pStyle w:val="2"/>
        <w:spacing w:line="340" w:lineRule="auto"/>
        <w:ind w:left="0" w:right="3001" w:firstLine="567"/>
        <w:rPr>
          <w:rFonts w:cs="宋体"/>
          <w:b/>
          <w:spacing w:val="2"/>
          <w:sz w:val="28"/>
          <w:szCs w:val="28"/>
          <w:lang w:eastAsia="zh-CN"/>
        </w:rPr>
      </w:pPr>
      <w:r>
        <w:rPr>
          <w:rFonts w:cs="宋体"/>
          <w:b/>
          <w:spacing w:val="2"/>
          <w:sz w:val="28"/>
          <w:szCs w:val="28"/>
          <w:lang w:eastAsia="zh-CN"/>
        </w:rPr>
        <w:t>四、客观评价</w:t>
      </w:r>
    </w:p>
    <w:p>
      <w:pPr>
        <w:spacing w:line="360" w:lineRule="auto"/>
        <w:ind w:firstLine="480" w:firstLineChars="200"/>
        <w:rPr>
          <w:rFonts w:ascii="Times New Roman" w:hAnsi="Times New Roman"/>
          <w:iCs/>
          <w:sz w:val="24"/>
          <w:szCs w:val="24"/>
          <w:lang w:eastAsia="zh-CN"/>
        </w:rPr>
      </w:pPr>
      <w:r>
        <w:rPr>
          <w:rFonts w:hint="eastAsia" w:ascii="Times New Roman" w:hAnsi="Times New Roman"/>
          <w:iCs/>
          <w:sz w:val="24"/>
          <w:szCs w:val="24"/>
          <w:lang w:eastAsia="zh-CN"/>
        </w:rPr>
        <w:t>本课题以若尔盖湿地为对象，掌握了若尔盖湿地生态系统中水生生物的稳定性同位素信息、水生食物网结构、食物网能量主要来源、畜牧业干扰对生态系统的潜在影响等关键资料。</w:t>
      </w:r>
    </w:p>
    <w:p>
      <w:pPr>
        <w:spacing w:line="360" w:lineRule="auto"/>
        <w:ind w:firstLine="480" w:firstLineChars="200"/>
        <w:rPr>
          <w:rFonts w:ascii="Times New Roman" w:hAnsi="Times New Roman"/>
          <w:iCs/>
          <w:sz w:val="24"/>
          <w:szCs w:val="24"/>
          <w:lang w:eastAsia="zh-CN"/>
        </w:rPr>
      </w:pPr>
      <w:r>
        <w:rPr>
          <w:rFonts w:hint="eastAsia" w:ascii="Times New Roman" w:hAnsi="Times New Roman"/>
          <w:iCs/>
          <w:sz w:val="24"/>
          <w:szCs w:val="24"/>
          <w:lang w:eastAsia="zh-CN"/>
        </w:rPr>
        <w:t>本课题研究结论</w:t>
      </w:r>
      <w:r>
        <w:rPr>
          <w:rFonts w:ascii="Times New Roman" w:hAnsi="Times New Roman"/>
          <w:iCs/>
          <w:sz w:val="24"/>
          <w:szCs w:val="24"/>
          <w:lang w:eastAsia="zh-CN"/>
        </w:rPr>
        <w:t>可为</w:t>
      </w:r>
      <w:r>
        <w:rPr>
          <w:rFonts w:hint="eastAsia" w:ascii="Times New Roman" w:hAnsi="Times New Roman"/>
          <w:iCs/>
          <w:sz w:val="24"/>
          <w:szCs w:val="24"/>
          <w:lang w:eastAsia="zh-CN"/>
        </w:rPr>
        <w:t>若尔盖湿地水域生态环境</w:t>
      </w:r>
      <w:r>
        <w:rPr>
          <w:rFonts w:ascii="Times New Roman" w:hAnsi="Times New Roman"/>
          <w:iCs/>
          <w:sz w:val="24"/>
          <w:szCs w:val="24"/>
          <w:lang w:eastAsia="zh-CN"/>
        </w:rPr>
        <w:t>境管理与治理、</w:t>
      </w:r>
      <w:r>
        <w:rPr>
          <w:rFonts w:hint="eastAsia" w:ascii="Times New Roman" w:hAnsi="Times New Roman"/>
          <w:iCs/>
          <w:sz w:val="24"/>
          <w:szCs w:val="24"/>
          <w:lang w:eastAsia="zh-CN"/>
        </w:rPr>
        <w:t>水生</w:t>
      </w:r>
      <w:r>
        <w:rPr>
          <w:rFonts w:ascii="Times New Roman" w:hAnsi="Times New Roman"/>
          <w:iCs/>
          <w:sz w:val="24"/>
          <w:szCs w:val="24"/>
          <w:lang w:eastAsia="zh-CN"/>
        </w:rPr>
        <w:t>生态修复提供重要的科</w:t>
      </w:r>
      <w:r>
        <w:rPr>
          <w:rFonts w:hint="eastAsia" w:ascii="Times New Roman" w:hAnsi="Times New Roman"/>
          <w:iCs/>
          <w:sz w:val="24"/>
          <w:szCs w:val="24"/>
          <w:lang w:eastAsia="zh-CN"/>
        </w:rPr>
        <w:t>依据，具有显著的生态、社会和经济效益。</w:t>
      </w:r>
    </w:p>
    <w:p>
      <w:pPr>
        <w:spacing w:line="360" w:lineRule="auto"/>
        <w:ind w:firstLine="480" w:firstLineChars="200"/>
        <w:rPr>
          <w:rFonts w:ascii="Times New Roman" w:hAnsi="Times New Roman"/>
          <w:iCs/>
          <w:sz w:val="24"/>
          <w:szCs w:val="24"/>
          <w:lang w:eastAsia="zh-CN"/>
        </w:rPr>
      </w:pPr>
      <w:r>
        <w:rPr>
          <w:rFonts w:hint="eastAsia" w:ascii="Times New Roman" w:hAnsi="Times New Roman"/>
          <w:iCs/>
          <w:sz w:val="24"/>
          <w:szCs w:val="24"/>
          <w:lang w:eastAsia="zh-CN"/>
        </w:rPr>
        <w:t>通过本项目实施，发表SCI收录论文</w:t>
      </w:r>
      <w:r>
        <w:rPr>
          <w:rFonts w:ascii="Times New Roman" w:hAnsi="Times New Roman"/>
          <w:iCs/>
          <w:sz w:val="24"/>
          <w:szCs w:val="24"/>
          <w:lang w:eastAsia="zh-CN"/>
        </w:rPr>
        <w:t>1</w:t>
      </w:r>
      <w:r>
        <w:rPr>
          <w:rFonts w:hint="eastAsia" w:ascii="Times New Roman" w:hAnsi="Times New Roman"/>
          <w:iCs/>
          <w:sz w:val="24"/>
          <w:szCs w:val="24"/>
          <w:lang w:eastAsia="zh-CN"/>
        </w:rPr>
        <w:t>篇，其它核心论文4篇.</w:t>
      </w:r>
    </w:p>
    <w:p>
      <w:pPr>
        <w:pStyle w:val="2"/>
        <w:spacing w:line="340" w:lineRule="auto"/>
        <w:ind w:left="0" w:right="3001" w:firstLine="567"/>
        <w:rPr>
          <w:rFonts w:cs="宋体"/>
          <w:b/>
          <w:spacing w:val="2"/>
          <w:sz w:val="28"/>
          <w:szCs w:val="28"/>
          <w:lang w:eastAsia="zh-CN"/>
        </w:rPr>
      </w:pPr>
      <w:r>
        <w:rPr>
          <w:rFonts w:cs="宋体"/>
          <w:b/>
          <w:spacing w:val="2"/>
          <w:sz w:val="28"/>
          <w:szCs w:val="28"/>
          <w:lang w:eastAsia="zh-CN"/>
        </w:rPr>
        <w:t>五、推广应用情况</w:t>
      </w:r>
    </w:p>
    <w:p>
      <w:pPr>
        <w:spacing w:line="360" w:lineRule="auto"/>
        <w:ind w:firstLine="480" w:firstLineChars="200"/>
        <w:rPr>
          <w:sz w:val="24"/>
          <w:szCs w:val="24"/>
          <w:lang w:eastAsia="zh-CN"/>
        </w:rPr>
      </w:pPr>
      <w:r>
        <w:rPr>
          <w:rFonts w:ascii="Times New Roman" w:hAnsi="Times New Roman"/>
          <w:iCs/>
          <w:sz w:val="24"/>
          <w:szCs w:val="24"/>
          <w:lang w:eastAsia="zh-CN"/>
        </w:rPr>
        <w:t>自项目实施以来，通过研究与推广，在四川各地进行了多个湿地生态系统评价</w:t>
      </w:r>
      <w:r>
        <w:rPr>
          <w:rFonts w:hint="eastAsia" w:ascii="Times New Roman" w:hAnsi="Times New Roman"/>
          <w:iCs/>
          <w:sz w:val="24"/>
          <w:szCs w:val="24"/>
          <w:lang w:eastAsia="zh-CN"/>
        </w:rPr>
        <w:t>。项目成果在成果在和源渔业科技有限公司</w:t>
      </w:r>
      <w:r>
        <w:rPr>
          <w:rFonts w:ascii="Times New Roman" w:hAnsi="Times New Roman"/>
          <w:iCs/>
          <w:sz w:val="24"/>
          <w:szCs w:val="24"/>
          <w:lang w:eastAsia="zh-CN"/>
        </w:rPr>
        <w:t>、</w:t>
      </w:r>
      <w:r>
        <w:rPr>
          <w:rFonts w:hint="eastAsia" w:ascii="Times New Roman" w:hAnsi="Times New Roman"/>
          <w:iCs/>
          <w:sz w:val="24"/>
          <w:szCs w:val="24"/>
          <w:lang w:eastAsia="zh-CN"/>
        </w:rPr>
        <w:t>四川深泓生态环保科技公司等单位的水生环境监测等项目中得到应用，</w:t>
      </w:r>
      <w:r>
        <w:rPr>
          <w:rFonts w:ascii="Times New Roman" w:hAnsi="Times New Roman"/>
          <w:iCs/>
          <w:sz w:val="24"/>
          <w:szCs w:val="24"/>
          <w:lang w:eastAsia="zh-CN"/>
        </w:rPr>
        <w:t>通过在湿地食物网中氮稳定性同位素信号的研究，能较灵敏反应出放牧干扰的信息。</w:t>
      </w:r>
      <w:r>
        <w:rPr>
          <w:sz w:val="24"/>
          <w:szCs w:val="24"/>
          <w:lang w:eastAsia="zh-CN"/>
        </w:rPr>
        <w:t>与以往的评价方法相比，评价手段更加准确，缩短了评价周期，降低了评价成本，根据本项目的成果，管理部门可以因地制宜地筛选出更为有效的保护措施。因此，本项目具有</w:t>
      </w:r>
      <w:r>
        <w:rPr>
          <w:rFonts w:hint="eastAsia"/>
          <w:sz w:val="24"/>
          <w:szCs w:val="24"/>
          <w:lang w:eastAsia="zh-CN"/>
        </w:rPr>
        <w:t>一定</w:t>
      </w:r>
      <w:r>
        <w:rPr>
          <w:sz w:val="24"/>
          <w:szCs w:val="24"/>
          <w:lang w:eastAsia="zh-CN"/>
        </w:rPr>
        <w:t>的社会生态效益。</w:t>
      </w:r>
    </w:p>
    <w:p>
      <w:pPr>
        <w:pStyle w:val="2"/>
        <w:spacing w:line="340" w:lineRule="auto"/>
        <w:ind w:left="0" w:right="80" w:firstLine="567"/>
        <w:rPr>
          <w:rFonts w:cs="宋体"/>
          <w:b/>
          <w:spacing w:val="2"/>
          <w:sz w:val="28"/>
          <w:szCs w:val="28"/>
          <w:lang w:eastAsia="zh-CN"/>
        </w:rPr>
      </w:pPr>
      <w:r>
        <w:rPr>
          <w:rFonts w:cs="宋体"/>
          <w:b/>
          <w:spacing w:val="2"/>
          <w:sz w:val="28"/>
          <w:szCs w:val="28"/>
          <w:lang w:eastAsia="zh-CN"/>
        </w:rPr>
        <w:t>六、主要知识产权和标准规范等证明目录</w:t>
      </w:r>
    </w:p>
    <w:p>
      <w:pPr>
        <w:pStyle w:val="2"/>
        <w:spacing w:line="340" w:lineRule="auto"/>
        <w:ind w:right="-20" w:firstLine="567"/>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b/>
          <w:lang w:eastAsia="zh-CN"/>
        </w:rPr>
        <w:t>Bin Li,</w:t>
      </w:r>
      <w:r>
        <w:rPr>
          <w:rFonts w:ascii="Times New Roman" w:hAnsi="Times New Roman" w:cs="Times New Roman"/>
          <w:lang w:eastAsia="zh-CN"/>
        </w:rPr>
        <w:t xml:space="preserve"> Fajun Chen, </w:t>
      </w:r>
      <w:r>
        <w:rPr>
          <w:rFonts w:ascii="Times New Roman" w:hAnsi="Times New Roman" w:cs="Times New Roman"/>
          <w:b/>
          <w:lang w:eastAsia="zh-CN"/>
        </w:rPr>
        <w:t>Dandan Xu</w:t>
      </w:r>
      <w:r>
        <w:rPr>
          <w:rFonts w:ascii="Times New Roman" w:hAnsi="Times New Roman" w:cs="Times New Roman"/>
          <w:lang w:eastAsia="zh-CN"/>
        </w:rPr>
        <w:t xml:space="preserve">, Zhijian Wang, </w:t>
      </w:r>
      <w:r>
        <w:rPr>
          <w:rFonts w:ascii="Times New Roman" w:hAnsi="Times New Roman" w:cs="Times New Roman"/>
          <w:b/>
          <w:lang w:eastAsia="zh-CN"/>
        </w:rPr>
        <w:t xml:space="preserve">Min Tao. </w:t>
      </w:r>
      <w:r>
        <w:rPr>
          <w:rFonts w:ascii="Times New Roman" w:hAnsi="Times New Roman" w:cs="Times New Roman"/>
          <w:lang w:eastAsia="zh-CN"/>
        </w:rPr>
        <w:t xml:space="preserve"> Trophic interactions in the Zoige Alpine wetland on the eastern edge of the Qinghai–Tibetan Plateau inferred by stable isotopes.</w:t>
      </w:r>
      <w:r>
        <w:t xml:space="preserve"> </w:t>
      </w:r>
      <w:r>
        <w:rPr>
          <w:rFonts w:ascii="Times New Roman" w:hAnsi="Times New Roman" w:cs="Times New Roman"/>
          <w:lang w:eastAsia="zh-CN"/>
        </w:rPr>
        <w:t>Limnology，</w:t>
      </w:r>
      <w:r>
        <w:rPr>
          <w:rFonts w:hint="eastAsia" w:ascii="Times New Roman" w:hAnsi="Times New Roman" w:cs="Times New Roman"/>
          <w:lang w:eastAsia="zh-CN"/>
        </w:rPr>
        <w:t>2018,19(3):285-297</w:t>
      </w:r>
      <w:r>
        <w:rPr>
          <w:rFonts w:ascii="Times New Roman" w:hAnsi="Times New Roman" w:cs="Times New Roman"/>
          <w:lang w:eastAsia="zh-CN"/>
        </w:rPr>
        <w:t>;</w:t>
      </w:r>
    </w:p>
    <w:p>
      <w:pPr>
        <w:pStyle w:val="2"/>
        <w:spacing w:line="340" w:lineRule="auto"/>
        <w:ind w:left="0" w:right="-20" w:firstLine="567"/>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b/>
          <w:lang w:eastAsia="zh-CN"/>
        </w:rPr>
        <w:t>李斌</w:t>
      </w:r>
      <w:r>
        <w:rPr>
          <w:rFonts w:hint="eastAsia" w:ascii="Times New Roman" w:hAnsi="Times New Roman" w:cs="Times New Roman"/>
          <w:lang w:eastAsia="zh-CN"/>
        </w:rPr>
        <w:t>，陈发军，</w:t>
      </w:r>
      <w:r>
        <w:rPr>
          <w:rFonts w:hint="eastAsia" w:ascii="Times New Roman" w:hAnsi="Times New Roman" w:cs="Times New Roman"/>
          <w:b/>
          <w:lang w:eastAsia="zh-CN"/>
        </w:rPr>
        <w:t>陶敏</w:t>
      </w:r>
      <w:r>
        <w:rPr>
          <w:rFonts w:hint="eastAsia" w:ascii="Times New Roman" w:hAnsi="Times New Roman" w:cs="Times New Roman"/>
          <w:lang w:eastAsia="zh-CN"/>
        </w:rPr>
        <w:t>，岳兴建，王志坚，张耀光.</w:t>
      </w:r>
      <w:r>
        <w:rPr>
          <w:rFonts w:ascii="Times New Roman" w:hAnsi="Times New Roman" w:cs="Times New Roman"/>
          <w:lang w:eastAsia="zh-CN"/>
        </w:rPr>
        <w:t xml:space="preserve"> </w:t>
      </w:r>
      <w:r>
        <w:rPr>
          <w:rFonts w:hint="eastAsia" w:ascii="Times New Roman" w:hAnsi="Times New Roman" w:cs="Times New Roman"/>
          <w:lang w:eastAsia="zh-CN"/>
        </w:rPr>
        <w:t>夏季若尔盖高寒湿地水生生物群落食物网结构特征，水生生物学报，2016,</w:t>
      </w:r>
      <w:r>
        <w:rPr>
          <w:rFonts w:ascii="Times New Roman" w:hAnsi="Times New Roman" w:cs="Times New Roman"/>
          <w:lang w:eastAsia="zh-CN"/>
        </w:rPr>
        <w:t>40(2),313-320;</w:t>
      </w:r>
    </w:p>
    <w:p>
      <w:pPr>
        <w:pStyle w:val="2"/>
        <w:spacing w:line="340" w:lineRule="auto"/>
        <w:ind w:left="0" w:right="-20" w:firstLine="567"/>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b/>
          <w:lang w:eastAsia="zh-CN"/>
        </w:rPr>
        <w:t>李斌</w:t>
      </w:r>
      <w:r>
        <w:rPr>
          <w:rFonts w:hint="eastAsia" w:ascii="Times New Roman" w:hAnsi="Times New Roman" w:cs="Times New Roman"/>
          <w:lang w:eastAsia="zh-CN"/>
        </w:rPr>
        <w:t>，陈发军，</w:t>
      </w:r>
      <w:r>
        <w:rPr>
          <w:rFonts w:hint="eastAsia" w:ascii="Times New Roman" w:hAnsi="Times New Roman" w:cs="Times New Roman"/>
          <w:b/>
          <w:lang w:eastAsia="zh-CN"/>
        </w:rPr>
        <w:t>陶敏</w:t>
      </w:r>
      <w:r>
        <w:rPr>
          <w:rFonts w:hint="eastAsia" w:ascii="Times New Roman" w:hAnsi="Times New Roman" w:cs="Times New Roman"/>
          <w:lang w:eastAsia="zh-CN"/>
        </w:rPr>
        <w:t>，王志坚，齐泽民.</w:t>
      </w:r>
      <w:r>
        <w:rPr>
          <w:rFonts w:ascii="Times New Roman" w:hAnsi="Times New Roman" w:cs="Times New Roman"/>
          <w:lang w:eastAsia="zh-CN"/>
        </w:rPr>
        <w:t xml:space="preserve"> </w:t>
      </w:r>
      <w:r>
        <w:rPr>
          <w:rFonts w:hint="eastAsia" w:ascii="Times New Roman" w:hAnsi="Times New Roman" w:cs="Times New Roman"/>
          <w:lang w:eastAsia="zh-CN"/>
        </w:rPr>
        <w:t>放牧干扰对若尔盖高寒湿地不同水生生物δ</w:t>
      </w:r>
      <w:r>
        <w:rPr>
          <w:rFonts w:hint="eastAsia" w:ascii="Times New Roman" w:hAnsi="Times New Roman" w:cs="Times New Roman"/>
          <w:vertAlign w:val="superscript"/>
          <w:lang w:eastAsia="zh-CN"/>
        </w:rPr>
        <w:t>1</w:t>
      </w:r>
      <w:r>
        <w:rPr>
          <w:rFonts w:ascii="Times New Roman" w:hAnsi="Times New Roman" w:cs="Times New Roman"/>
          <w:vertAlign w:val="superscript"/>
          <w:lang w:eastAsia="zh-CN"/>
        </w:rPr>
        <w:t>3</w:t>
      </w:r>
      <w:r>
        <w:rPr>
          <w:rFonts w:hint="eastAsia" w:ascii="Times New Roman" w:hAnsi="Times New Roman" w:cs="Times New Roman"/>
          <w:lang w:eastAsia="zh-CN"/>
        </w:rPr>
        <w:t>Ｃ、δ</w:t>
      </w:r>
      <w:r>
        <w:rPr>
          <w:rFonts w:hint="eastAsia" w:ascii="Times New Roman" w:hAnsi="Times New Roman" w:cs="Times New Roman"/>
          <w:vertAlign w:val="superscript"/>
          <w:lang w:eastAsia="zh-CN"/>
        </w:rPr>
        <w:t>1</w:t>
      </w:r>
      <w:r>
        <w:rPr>
          <w:rFonts w:ascii="Times New Roman" w:hAnsi="Times New Roman" w:cs="Times New Roman"/>
          <w:vertAlign w:val="superscript"/>
          <w:lang w:eastAsia="zh-CN"/>
        </w:rPr>
        <w:t>5</w:t>
      </w:r>
      <w:r>
        <w:rPr>
          <w:rFonts w:hint="eastAsia" w:ascii="Times New Roman" w:hAnsi="Times New Roman" w:cs="Times New Roman"/>
          <w:lang w:eastAsia="zh-CN"/>
        </w:rPr>
        <w:t>Ｎ 的影响，核农学报，2016,30(8):1</w:t>
      </w:r>
      <w:r>
        <w:rPr>
          <w:rFonts w:ascii="Times New Roman" w:hAnsi="Times New Roman" w:cs="Times New Roman"/>
          <w:lang w:eastAsia="zh-CN"/>
        </w:rPr>
        <w:t>599~</w:t>
      </w:r>
      <w:r>
        <w:rPr>
          <w:rFonts w:hint="eastAsia" w:ascii="Times New Roman" w:hAnsi="Times New Roman" w:cs="Times New Roman"/>
          <w:lang w:eastAsia="zh-CN"/>
        </w:rPr>
        <w:t>1</w:t>
      </w:r>
      <w:r>
        <w:rPr>
          <w:rFonts w:ascii="Times New Roman" w:hAnsi="Times New Roman" w:cs="Times New Roman"/>
          <w:lang w:eastAsia="zh-CN"/>
        </w:rPr>
        <w:t>606;</w:t>
      </w:r>
    </w:p>
    <w:p>
      <w:pPr>
        <w:pStyle w:val="2"/>
        <w:spacing w:line="340" w:lineRule="auto"/>
        <w:ind w:left="0" w:right="-20" w:firstLine="567"/>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b/>
          <w:lang w:eastAsia="zh-CN"/>
        </w:rPr>
        <w:t>李斌</w:t>
      </w:r>
      <w:r>
        <w:rPr>
          <w:rFonts w:hint="eastAsia" w:ascii="Times New Roman" w:hAnsi="Times New Roman" w:cs="Times New Roman"/>
          <w:lang w:eastAsia="zh-CN"/>
        </w:rPr>
        <w:t>，王志坚，</w:t>
      </w:r>
      <w:r>
        <w:rPr>
          <w:rFonts w:hint="eastAsia" w:ascii="Times New Roman" w:hAnsi="Times New Roman" w:cs="Times New Roman"/>
          <w:b/>
          <w:lang w:eastAsia="zh-CN"/>
        </w:rPr>
        <w:t>徐丹丹</w:t>
      </w:r>
      <w:r>
        <w:rPr>
          <w:rFonts w:hint="eastAsia" w:ascii="Times New Roman" w:hAnsi="Times New Roman" w:cs="Times New Roman"/>
          <w:lang w:eastAsia="zh-CN"/>
        </w:rPr>
        <w:t>，</w:t>
      </w:r>
      <w:r>
        <w:rPr>
          <w:rFonts w:hint="eastAsia" w:ascii="Times New Roman" w:hAnsi="Times New Roman" w:cs="Times New Roman"/>
          <w:b/>
          <w:lang w:eastAsia="zh-CN"/>
        </w:rPr>
        <w:t>王永明</w:t>
      </w:r>
      <w:r>
        <w:rPr>
          <w:rFonts w:hint="eastAsia" w:ascii="Times New Roman" w:hAnsi="Times New Roman" w:cs="Times New Roman"/>
          <w:lang w:eastAsia="zh-CN"/>
        </w:rPr>
        <w:t>，</w:t>
      </w:r>
      <w:r>
        <w:rPr>
          <w:rFonts w:hint="eastAsia" w:ascii="Times New Roman" w:hAnsi="Times New Roman" w:cs="Times New Roman"/>
          <w:b/>
          <w:lang w:eastAsia="zh-CN"/>
        </w:rPr>
        <w:t>陶 敏</w:t>
      </w:r>
      <w:r>
        <w:rPr>
          <w:rFonts w:ascii="Times New Roman" w:hAnsi="Times New Roman" w:cs="Times New Roman"/>
          <w:lang w:eastAsia="zh-CN"/>
        </w:rPr>
        <w:t xml:space="preserve">. </w:t>
      </w:r>
      <w:r>
        <w:rPr>
          <w:rFonts w:hint="eastAsia" w:ascii="Times New Roman" w:hAnsi="Times New Roman" w:cs="Times New Roman"/>
          <w:lang w:eastAsia="zh-CN"/>
        </w:rPr>
        <w:t>川东南小型水库营养结构特征的稳定C、N同位素分析，水生生物学报，2017,</w:t>
      </w:r>
      <w:r>
        <w:rPr>
          <w:rFonts w:ascii="Times New Roman" w:hAnsi="Times New Roman" w:cs="Times New Roman"/>
          <w:lang w:eastAsia="zh-CN"/>
        </w:rPr>
        <w:t>41(6),1345-1353;</w:t>
      </w:r>
    </w:p>
    <w:p>
      <w:pPr>
        <w:pStyle w:val="2"/>
        <w:spacing w:line="340" w:lineRule="auto"/>
        <w:ind w:left="0" w:right="-20" w:firstLine="567"/>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b/>
          <w:lang w:eastAsia="zh-CN"/>
        </w:rPr>
        <w:t>李斌</w:t>
      </w:r>
      <w:r>
        <w:rPr>
          <w:rFonts w:hint="eastAsia" w:ascii="Times New Roman" w:hAnsi="Times New Roman" w:cs="Times New Roman"/>
          <w:lang w:eastAsia="zh-CN"/>
        </w:rPr>
        <w:t>，</w:t>
      </w:r>
      <w:r>
        <w:rPr>
          <w:rFonts w:hint="eastAsia" w:ascii="Times New Roman" w:hAnsi="Times New Roman" w:cs="Times New Roman"/>
          <w:b/>
          <w:lang w:eastAsia="zh-CN"/>
        </w:rPr>
        <w:t>徐丹丹</w:t>
      </w:r>
      <w:r>
        <w:rPr>
          <w:rFonts w:hint="eastAsia" w:ascii="Times New Roman" w:hAnsi="Times New Roman" w:cs="Times New Roman"/>
          <w:lang w:eastAsia="zh-CN"/>
        </w:rPr>
        <w:t>，吴迪，</w:t>
      </w:r>
      <w:r>
        <w:rPr>
          <w:rFonts w:hint="eastAsia" w:ascii="Times New Roman" w:hAnsi="Times New Roman" w:cs="Times New Roman"/>
          <w:b/>
          <w:lang w:eastAsia="zh-CN"/>
        </w:rPr>
        <w:t>陶敏</w:t>
      </w:r>
      <w:r>
        <w:rPr>
          <w:rFonts w:ascii="Times New Roman" w:hAnsi="Times New Roman" w:cs="Times New Roman"/>
          <w:lang w:eastAsia="zh-CN"/>
        </w:rPr>
        <w:t xml:space="preserve">. </w:t>
      </w:r>
      <w:r>
        <w:rPr>
          <w:rFonts w:hint="eastAsia" w:ascii="Times New Roman" w:hAnsi="Times New Roman" w:cs="Times New Roman"/>
          <w:lang w:eastAsia="zh-CN"/>
        </w:rPr>
        <w:t>基于C_N同位素技术的河流食物网基础碳源研究进展，核农学报，2017,31(5):1</w:t>
      </w:r>
      <w:r>
        <w:rPr>
          <w:rFonts w:ascii="Times New Roman" w:hAnsi="Times New Roman" w:cs="Times New Roman"/>
          <w:lang w:eastAsia="zh-CN"/>
        </w:rPr>
        <w:t>029~</w:t>
      </w:r>
      <w:r>
        <w:rPr>
          <w:rFonts w:hint="eastAsia" w:ascii="Times New Roman" w:hAnsi="Times New Roman" w:cs="Times New Roman"/>
          <w:lang w:eastAsia="zh-CN"/>
        </w:rPr>
        <w:t>1</w:t>
      </w:r>
      <w:r>
        <w:rPr>
          <w:rFonts w:ascii="Times New Roman" w:hAnsi="Times New Roman" w:cs="Times New Roman"/>
          <w:lang w:eastAsia="zh-CN"/>
        </w:rPr>
        <w:t>035;</w:t>
      </w:r>
    </w:p>
    <w:p>
      <w:pPr>
        <w:pStyle w:val="2"/>
        <w:spacing w:line="340" w:lineRule="auto"/>
        <w:ind w:left="0" w:right="80" w:firstLine="567"/>
        <w:rPr>
          <w:rFonts w:cs="宋体"/>
          <w:b/>
          <w:spacing w:val="2"/>
          <w:sz w:val="28"/>
          <w:szCs w:val="28"/>
          <w:lang w:eastAsia="zh-CN"/>
        </w:rPr>
      </w:pPr>
      <w:r>
        <w:rPr>
          <w:rFonts w:cs="宋体"/>
          <w:b/>
          <w:spacing w:val="2"/>
          <w:sz w:val="28"/>
          <w:szCs w:val="28"/>
          <w:lang w:eastAsia="zh-CN"/>
        </w:rPr>
        <w:t>七、主要完成人情况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04"/>
        <w:gridCol w:w="1184"/>
        <w:gridCol w:w="1297"/>
        <w:gridCol w:w="1297"/>
        <w:gridCol w:w="129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b/>
                <w:lang w:eastAsia="zh-CN"/>
              </w:rPr>
            </w:pPr>
            <w:r>
              <w:rPr>
                <w:rFonts w:hint="eastAsia"/>
                <w:b/>
                <w:lang w:eastAsia="zh-CN"/>
              </w:rPr>
              <w:t>姓名</w:t>
            </w:r>
          </w:p>
        </w:tc>
        <w:tc>
          <w:tcPr>
            <w:tcW w:w="804" w:type="dxa"/>
            <w:vAlign w:val="center"/>
          </w:tcPr>
          <w:p>
            <w:pPr>
              <w:jc w:val="center"/>
              <w:rPr>
                <w:b/>
                <w:lang w:eastAsia="zh-CN"/>
              </w:rPr>
            </w:pPr>
            <w:r>
              <w:rPr>
                <w:rFonts w:hint="eastAsia"/>
                <w:b/>
                <w:lang w:eastAsia="zh-CN"/>
              </w:rPr>
              <w:t>排名</w:t>
            </w:r>
          </w:p>
        </w:tc>
        <w:tc>
          <w:tcPr>
            <w:tcW w:w="1184" w:type="dxa"/>
            <w:vAlign w:val="center"/>
          </w:tcPr>
          <w:p>
            <w:pPr>
              <w:jc w:val="center"/>
              <w:rPr>
                <w:b/>
                <w:lang w:eastAsia="zh-CN"/>
              </w:rPr>
            </w:pPr>
            <w:r>
              <w:rPr>
                <w:rFonts w:hint="eastAsia"/>
                <w:b/>
                <w:lang w:eastAsia="zh-CN"/>
              </w:rPr>
              <w:t>行政职务</w:t>
            </w:r>
          </w:p>
        </w:tc>
        <w:tc>
          <w:tcPr>
            <w:tcW w:w="1297" w:type="dxa"/>
            <w:vAlign w:val="center"/>
          </w:tcPr>
          <w:p>
            <w:pPr>
              <w:jc w:val="center"/>
              <w:rPr>
                <w:b/>
                <w:lang w:eastAsia="zh-CN"/>
              </w:rPr>
            </w:pPr>
            <w:r>
              <w:rPr>
                <w:rFonts w:hint="eastAsia"/>
                <w:b/>
                <w:lang w:eastAsia="zh-CN"/>
              </w:rPr>
              <w:t>技术职称</w:t>
            </w:r>
          </w:p>
        </w:tc>
        <w:tc>
          <w:tcPr>
            <w:tcW w:w="1297" w:type="dxa"/>
            <w:vAlign w:val="center"/>
          </w:tcPr>
          <w:p>
            <w:pPr>
              <w:jc w:val="center"/>
              <w:rPr>
                <w:b/>
                <w:lang w:eastAsia="zh-CN"/>
              </w:rPr>
            </w:pPr>
            <w:r>
              <w:rPr>
                <w:rFonts w:hint="eastAsia"/>
                <w:b/>
                <w:lang w:eastAsia="zh-CN"/>
              </w:rPr>
              <w:t>共作单位</w:t>
            </w:r>
          </w:p>
        </w:tc>
        <w:tc>
          <w:tcPr>
            <w:tcW w:w="1297" w:type="dxa"/>
            <w:vAlign w:val="center"/>
          </w:tcPr>
          <w:p>
            <w:pPr>
              <w:jc w:val="center"/>
              <w:rPr>
                <w:b/>
                <w:lang w:eastAsia="zh-CN"/>
              </w:rPr>
            </w:pPr>
            <w:r>
              <w:rPr>
                <w:rFonts w:hint="eastAsia"/>
                <w:b/>
                <w:lang w:eastAsia="zh-CN"/>
              </w:rPr>
              <w:t>完成单位</w:t>
            </w:r>
          </w:p>
        </w:tc>
        <w:tc>
          <w:tcPr>
            <w:tcW w:w="1612" w:type="dxa"/>
            <w:vAlign w:val="center"/>
          </w:tcPr>
          <w:p>
            <w:pPr>
              <w:jc w:val="center"/>
              <w:rPr>
                <w:b/>
                <w:lang w:eastAsia="zh-CN"/>
              </w:rPr>
            </w:pPr>
            <w:r>
              <w:rPr>
                <w:rFonts w:hint="eastAsia"/>
                <w:b/>
                <w:lang w:eastAsia="zh-CN"/>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lang w:eastAsia="zh-CN"/>
              </w:rPr>
            </w:pPr>
            <w:r>
              <w:rPr>
                <w:rFonts w:hint="eastAsia"/>
                <w:lang w:eastAsia="zh-CN"/>
              </w:rPr>
              <w:t>李斌</w:t>
            </w:r>
          </w:p>
        </w:tc>
        <w:tc>
          <w:tcPr>
            <w:tcW w:w="804" w:type="dxa"/>
            <w:vAlign w:val="center"/>
          </w:tcPr>
          <w:p>
            <w:pPr>
              <w:jc w:val="center"/>
              <w:rPr>
                <w:lang w:eastAsia="zh-CN"/>
              </w:rPr>
            </w:pPr>
            <w:r>
              <w:rPr>
                <w:lang w:eastAsia="zh-CN"/>
              </w:rPr>
              <w:t>1</w:t>
            </w:r>
          </w:p>
        </w:tc>
        <w:tc>
          <w:tcPr>
            <w:tcW w:w="1184" w:type="dxa"/>
            <w:vAlign w:val="center"/>
          </w:tcPr>
          <w:p>
            <w:pPr>
              <w:jc w:val="center"/>
              <w:rPr>
                <w:lang w:eastAsia="zh-CN"/>
              </w:rPr>
            </w:pPr>
            <w:r>
              <w:rPr>
                <w:rFonts w:hint="eastAsia"/>
                <w:lang w:eastAsia="zh-CN"/>
              </w:rPr>
              <w:t>无</w:t>
            </w:r>
          </w:p>
        </w:tc>
        <w:tc>
          <w:tcPr>
            <w:tcW w:w="1297" w:type="dxa"/>
            <w:vAlign w:val="center"/>
          </w:tcPr>
          <w:p>
            <w:pPr>
              <w:jc w:val="center"/>
              <w:rPr>
                <w:lang w:eastAsia="zh-CN"/>
              </w:rPr>
            </w:pPr>
            <w:r>
              <w:rPr>
                <w:rFonts w:hint="eastAsia"/>
                <w:lang w:eastAsia="zh-CN"/>
              </w:rPr>
              <w:t>教授</w:t>
            </w:r>
          </w:p>
        </w:tc>
        <w:tc>
          <w:tcPr>
            <w:tcW w:w="1297" w:type="dxa"/>
            <w:vAlign w:val="center"/>
          </w:tcPr>
          <w:p>
            <w:pPr>
              <w:jc w:val="center"/>
              <w:rPr>
                <w:lang w:eastAsia="zh-CN"/>
              </w:rPr>
            </w:pPr>
            <w:r>
              <w:rPr>
                <w:rFonts w:hint="eastAsia"/>
                <w:lang w:eastAsia="zh-CN"/>
              </w:rPr>
              <w:t>内江师范学院</w:t>
            </w:r>
          </w:p>
        </w:tc>
        <w:tc>
          <w:tcPr>
            <w:tcW w:w="1297" w:type="dxa"/>
            <w:vAlign w:val="center"/>
          </w:tcPr>
          <w:p>
            <w:pPr>
              <w:jc w:val="center"/>
              <w:rPr>
                <w:lang w:eastAsia="zh-CN"/>
              </w:rPr>
            </w:pPr>
            <w:r>
              <w:rPr>
                <w:rFonts w:hint="eastAsia"/>
                <w:lang w:eastAsia="zh-CN"/>
              </w:rPr>
              <w:t>内江师范学院</w:t>
            </w:r>
          </w:p>
        </w:tc>
        <w:tc>
          <w:tcPr>
            <w:tcW w:w="1612" w:type="dxa"/>
          </w:tcPr>
          <w:p>
            <w:pPr>
              <w:jc w:val="center"/>
              <w:rPr>
                <w:lang w:eastAsia="zh-CN"/>
              </w:rPr>
            </w:pPr>
            <w:r>
              <w:rPr>
                <w:lang w:eastAsia="zh-CN"/>
              </w:rPr>
              <w:t>对第1、2、3创新点有关键贡献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lang w:eastAsia="zh-CN"/>
              </w:rPr>
            </w:pPr>
            <w:r>
              <w:rPr>
                <w:rFonts w:hint="eastAsia"/>
                <w:lang w:eastAsia="zh-CN"/>
              </w:rPr>
              <w:t>徐丹丹</w:t>
            </w:r>
          </w:p>
        </w:tc>
        <w:tc>
          <w:tcPr>
            <w:tcW w:w="804" w:type="dxa"/>
            <w:vAlign w:val="center"/>
          </w:tcPr>
          <w:p>
            <w:pPr>
              <w:jc w:val="center"/>
              <w:rPr>
                <w:lang w:eastAsia="zh-CN"/>
              </w:rPr>
            </w:pPr>
            <w:r>
              <w:rPr>
                <w:lang w:eastAsia="zh-CN"/>
              </w:rPr>
              <w:t>2</w:t>
            </w:r>
          </w:p>
        </w:tc>
        <w:tc>
          <w:tcPr>
            <w:tcW w:w="1184" w:type="dxa"/>
            <w:vAlign w:val="center"/>
          </w:tcPr>
          <w:p>
            <w:pPr>
              <w:jc w:val="center"/>
            </w:pPr>
            <w:r>
              <w:rPr>
                <w:rFonts w:hint="eastAsia"/>
                <w:lang w:eastAsia="zh-CN"/>
              </w:rPr>
              <w:t>无</w:t>
            </w:r>
          </w:p>
        </w:tc>
        <w:tc>
          <w:tcPr>
            <w:tcW w:w="1297" w:type="dxa"/>
            <w:vAlign w:val="center"/>
          </w:tcPr>
          <w:p>
            <w:pPr>
              <w:jc w:val="center"/>
              <w:rPr>
                <w:lang w:eastAsia="zh-CN"/>
              </w:rPr>
            </w:pPr>
            <w:r>
              <w:rPr>
                <w:rFonts w:hint="eastAsia"/>
                <w:lang w:eastAsia="zh-CN"/>
              </w:rPr>
              <w:t>实验师</w:t>
            </w:r>
          </w:p>
        </w:tc>
        <w:tc>
          <w:tcPr>
            <w:tcW w:w="1297" w:type="dxa"/>
            <w:vAlign w:val="center"/>
          </w:tcPr>
          <w:p>
            <w:pPr>
              <w:jc w:val="center"/>
              <w:rPr>
                <w:lang w:eastAsia="zh-CN"/>
              </w:rPr>
            </w:pPr>
            <w:r>
              <w:rPr>
                <w:rFonts w:hint="eastAsia"/>
                <w:lang w:eastAsia="zh-CN"/>
              </w:rPr>
              <w:t>内江师范学院</w:t>
            </w:r>
          </w:p>
        </w:tc>
        <w:tc>
          <w:tcPr>
            <w:tcW w:w="1297" w:type="dxa"/>
            <w:vAlign w:val="center"/>
          </w:tcPr>
          <w:p>
            <w:pPr>
              <w:jc w:val="center"/>
              <w:rPr>
                <w:lang w:eastAsia="zh-CN"/>
              </w:rPr>
            </w:pPr>
            <w:r>
              <w:rPr>
                <w:rFonts w:hint="eastAsia"/>
                <w:lang w:eastAsia="zh-CN"/>
              </w:rPr>
              <w:t>内江师范学院</w:t>
            </w:r>
          </w:p>
        </w:tc>
        <w:tc>
          <w:tcPr>
            <w:tcW w:w="1612" w:type="dxa"/>
          </w:tcPr>
          <w:p>
            <w:pPr>
              <w:jc w:val="center"/>
              <w:rPr>
                <w:lang w:eastAsia="zh-CN"/>
              </w:rPr>
            </w:pPr>
          </w:p>
          <w:p>
            <w:pPr>
              <w:jc w:val="center"/>
              <w:rPr>
                <w:lang w:eastAsia="zh-CN"/>
              </w:rPr>
            </w:pPr>
            <w:r>
              <w:rPr>
                <w:lang w:eastAsia="zh-CN"/>
              </w:rPr>
              <w:t>对第1、2创新点有关键贡献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lang w:eastAsia="zh-CN"/>
              </w:rPr>
            </w:pPr>
            <w:r>
              <w:rPr>
                <w:rFonts w:hint="eastAsia"/>
                <w:lang w:eastAsia="zh-CN"/>
              </w:rPr>
              <w:t>陶敏</w:t>
            </w:r>
          </w:p>
        </w:tc>
        <w:tc>
          <w:tcPr>
            <w:tcW w:w="804" w:type="dxa"/>
            <w:vAlign w:val="center"/>
          </w:tcPr>
          <w:p>
            <w:pPr>
              <w:jc w:val="center"/>
              <w:rPr>
                <w:lang w:eastAsia="zh-CN"/>
              </w:rPr>
            </w:pPr>
            <w:r>
              <w:rPr>
                <w:lang w:eastAsia="zh-CN"/>
              </w:rPr>
              <w:t>3</w:t>
            </w:r>
          </w:p>
        </w:tc>
        <w:tc>
          <w:tcPr>
            <w:tcW w:w="1184" w:type="dxa"/>
            <w:vAlign w:val="center"/>
          </w:tcPr>
          <w:p>
            <w:pPr>
              <w:jc w:val="center"/>
            </w:pPr>
            <w:r>
              <w:rPr>
                <w:rFonts w:hint="eastAsia"/>
                <w:lang w:eastAsia="zh-CN"/>
              </w:rPr>
              <w:t>无</w:t>
            </w:r>
          </w:p>
        </w:tc>
        <w:tc>
          <w:tcPr>
            <w:tcW w:w="1297" w:type="dxa"/>
            <w:vAlign w:val="center"/>
          </w:tcPr>
          <w:p>
            <w:pPr>
              <w:jc w:val="center"/>
              <w:rPr>
                <w:lang w:eastAsia="zh-CN"/>
              </w:rPr>
            </w:pPr>
            <w:r>
              <w:rPr>
                <w:rFonts w:ascii="Times New Roman" w:hAnsi="Times New Roman" w:cs="Times New Roman"/>
                <w:color w:val="000000"/>
                <w:sz w:val="21"/>
                <w:lang w:eastAsia="zh-CN"/>
              </w:rPr>
              <w:t>副教授</w:t>
            </w:r>
          </w:p>
        </w:tc>
        <w:tc>
          <w:tcPr>
            <w:tcW w:w="1297" w:type="dxa"/>
            <w:vAlign w:val="center"/>
          </w:tcPr>
          <w:p>
            <w:pPr>
              <w:jc w:val="center"/>
              <w:rPr>
                <w:lang w:eastAsia="zh-CN"/>
              </w:rPr>
            </w:pPr>
            <w:r>
              <w:rPr>
                <w:rFonts w:hint="eastAsia"/>
                <w:lang w:eastAsia="zh-CN"/>
              </w:rPr>
              <w:t>内江师范学院</w:t>
            </w:r>
          </w:p>
        </w:tc>
        <w:tc>
          <w:tcPr>
            <w:tcW w:w="1297" w:type="dxa"/>
            <w:vAlign w:val="center"/>
          </w:tcPr>
          <w:p>
            <w:pPr>
              <w:jc w:val="center"/>
              <w:rPr>
                <w:lang w:eastAsia="zh-CN"/>
              </w:rPr>
            </w:pPr>
            <w:r>
              <w:rPr>
                <w:rFonts w:hint="eastAsia"/>
                <w:lang w:eastAsia="zh-CN"/>
              </w:rPr>
              <w:t>内江师范学院</w:t>
            </w:r>
          </w:p>
        </w:tc>
        <w:tc>
          <w:tcPr>
            <w:tcW w:w="1612" w:type="dxa"/>
          </w:tcPr>
          <w:p>
            <w:pPr>
              <w:jc w:val="center"/>
              <w:rPr>
                <w:lang w:eastAsia="zh-CN"/>
              </w:rPr>
            </w:pPr>
          </w:p>
          <w:p>
            <w:pPr>
              <w:jc w:val="center"/>
              <w:rPr>
                <w:lang w:eastAsia="zh-CN"/>
              </w:rPr>
            </w:pPr>
            <w:r>
              <w:rPr>
                <w:lang w:eastAsia="zh-CN"/>
              </w:rPr>
              <w:t>对第1、4创新点有关键贡献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lang w:eastAsia="zh-CN"/>
              </w:rPr>
            </w:pPr>
            <w:r>
              <w:rPr>
                <w:rFonts w:hint="eastAsia"/>
                <w:lang w:eastAsia="zh-CN"/>
              </w:rPr>
              <w:t>王永明</w:t>
            </w:r>
          </w:p>
        </w:tc>
        <w:tc>
          <w:tcPr>
            <w:tcW w:w="804" w:type="dxa"/>
            <w:vAlign w:val="center"/>
          </w:tcPr>
          <w:p>
            <w:pPr>
              <w:jc w:val="center"/>
              <w:rPr>
                <w:lang w:eastAsia="zh-CN"/>
              </w:rPr>
            </w:pPr>
            <w:r>
              <w:rPr>
                <w:lang w:eastAsia="zh-CN"/>
              </w:rPr>
              <w:t>4</w:t>
            </w:r>
          </w:p>
        </w:tc>
        <w:tc>
          <w:tcPr>
            <w:tcW w:w="1184" w:type="dxa"/>
            <w:vAlign w:val="center"/>
          </w:tcPr>
          <w:p>
            <w:pPr>
              <w:jc w:val="center"/>
            </w:pPr>
            <w:r>
              <w:rPr>
                <w:rFonts w:hint="eastAsia"/>
                <w:lang w:eastAsia="zh-CN"/>
              </w:rPr>
              <w:t>无</w:t>
            </w:r>
          </w:p>
        </w:tc>
        <w:tc>
          <w:tcPr>
            <w:tcW w:w="1297" w:type="dxa"/>
            <w:vAlign w:val="center"/>
          </w:tcPr>
          <w:p>
            <w:pPr>
              <w:jc w:val="center"/>
              <w:rPr>
                <w:lang w:eastAsia="zh-CN"/>
              </w:rPr>
            </w:pPr>
            <w:r>
              <w:rPr>
                <w:rFonts w:ascii="Times New Roman" w:hAnsi="Times New Roman" w:cs="Times New Roman"/>
                <w:color w:val="000000"/>
                <w:sz w:val="21"/>
                <w:lang w:eastAsia="zh-CN"/>
              </w:rPr>
              <w:t>副教授</w:t>
            </w:r>
          </w:p>
        </w:tc>
        <w:tc>
          <w:tcPr>
            <w:tcW w:w="1297" w:type="dxa"/>
            <w:vAlign w:val="center"/>
          </w:tcPr>
          <w:p>
            <w:pPr>
              <w:jc w:val="center"/>
              <w:rPr>
                <w:lang w:eastAsia="zh-CN"/>
              </w:rPr>
            </w:pPr>
            <w:r>
              <w:rPr>
                <w:rFonts w:hint="eastAsia"/>
                <w:lang w:eastAsia="zh-CN"/>
              </w:rPr>
              <w:t>内江师范学院</w:t>
            </w:r>
          </w:p>
        </w:tc>
        <w:tc>
          <w:tcPr>
            <w:tcW w:w="1297" w:type="dxa"/>
            <w:vAlign w:val="center"/>
          </w:tcPr>
          <w:p>
            <w:pPr>
              <w:jc w:val="center"/>
              <w:rPr>
                <w:lang w:eastAsia="zh-CN"/>
              </w:rPr>
            </w:pPr>
            <w:r>
              <w:rPr>
                <w:rFonts w:hint="eastAsia"/>
                <w:lang w:eastAsia="zh-CN"/>
              </w:rPr>
              <w:t>内江师范学院</w:t>
            </w:r>
          </w:p>
        </w:tc>
        <w:tc>
          <w:tcPr>
            <w:tcW w:w="1612" w:type="dxa"/>
            <w:vAlign w:val="center"/>
          </w:tcPr>
          <w:p>
            <w:pPr>
              <w:jc w:val="center"/>
              <w:rPr>
                <w:lang w:eastAsia="zh-CN"/>
              </w:rPr>
            </w:pPr>
            <w:r>
              <w:rPr>
                <w:lang w:eastAsia="zh-CN"/>
              </w:rPr>
              <w:t>对第2、4创新点有关键贡献</w:t>
            </w:r>
          </w:p>
        </w:tc>
      </w:tr>
    </w:tbl>
    <w:p>
      <w:pPr>
        <w:spacing w:before="1" w:line="80" w:lineRule="exact"/>
        <w:rPr>
          <w:sz w:val="8"/>
          <w:szCs w:val="8"/>
          <w:lang w:eastAsia="zh-CN"/>
        </w:rPr>
      </w:pPr>
    </w:p>
    <w:p>
      <w:pPr>
        <w:pStyle w:val="2"/>
        <w:spacing w:line="340" w:lineRule="auto"/>
        <w:ind w:left="0" w:right="3001" w:firstLine="567"/>
        <w:rPr>
          <w:rFonts w:cs="宋体"/>
          <w:b/>
          <w:spacing w:val="2"/>
          <w:sz w:val="28"/>
          <w:szCs w:val="28"/>
          <w:lang w:eastAsia="zh-CN"/>
        </w:rPr>
      </w:pPr>
      <w:r>
        <w:rPr>
          <w:rFonts w:cs="宋体"/>
          <w:b/>
          <w:spacing w:val="2"/>
          <w:sz w:val="28"/>
          <w:szCs w:val="28"/>
          <w:lang w:eastAsia="zh-CN"/>
        </w:rPr>
        <w:t>八、主要完成单位及创新推广贡献</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134"/>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vAlign w:val="center"/>
          </w:tcPr>
          <w:p>
            <w:pPr>
              <w:pStyle w:val="11"/>
              <w:jc w:val="center"/>
              <w:rPr>
                <w:rFonts w:cs="宋体"/>
                <w:b/>
                <w:spacing w:val="2"/>
                <w:sz w:val="28"/>
                <w:szCs w:val="28"/>
                <w:lang w:eastAsia="zh-CN"/>
              </w:rPr>
            </w:pPr>
            <w:r>
              <w:rPr>
                <w:rFonts w:ascii="宋体" w:hAnsi="宋体" w:eastAsia="宋体" w:cs="宋体"/>
                <w:b/>
                <w:sz w:val="21"/>
                <w:szCs w:val="21"/>
                <w:lang w:eastAsia="zh-CN"/>
              </w:rPr>
              <w:t>排名</w:t>
            </w:r>
          </w:p>
        </w:tc>
        <w:tc>
          <w:tcPr>
            <w:tcW w:w="1134" w:type="dxa"/>
            <w:vAlign w:val="center"/>
          </w:tcPr>
          <w:p>
            <w:pPr>
              <w:pStyle w:val="11"/>
              <w:jc w:val="center"/>
              <w:rPr>
                <w:rFonts w:cs="宋体"/>
                <w:b/>
                <w:spacing w:val="2"/>
                <w:sz w:val="28"/>
                <w:szCs w:val="28"/>
                <w:lang w:eastAsia="zh-CN"/>
              </w:rPr>
            </w:pPr>
            <w:r>
              <w:rPr>
                <w:rFonts w:ascii="宋体" w:hAnsi="宋体" w:eastAsia="宋体" w:cs="宋体"/>
                <w:b/>
                <w:sz w:val="21"/>
                <w:szCs w:val="21"/>
                <w:lang w:eastAsia="zh-CN"/>
              </w:rPr>
              <w:t>单位名称</w:t>
            </w:r>
          </w:p>
        </w:tc>
        <w:tc>
          <w:tcPr>
            <w:tcW w:w="1134" w:type="dxa"/>
            <w:vAlign w:val="center"/>
          </w:tcPr>
          <w:p>
            <w:pPr>
              <w:pStyle w:val="11"/>
              <w:jc w:val="center"/>
              <w:rPr>
                <w:rFonts w:cs="宋体"/>
                <w:b/>
                <w:spacing w:val="2"/>
                <w:sz w:val="28"/>
                <w:szCs w:val="28"/>
                <w:lang w:eastAsia="zh-CN"/>
              </w:rPr>
            </w:pPr>
            <w:r>
              <w:rPr>
                <w:rFonts w:ascii="宋体" w:hAnsi="宋体" w:eastAsia="宋体" w:cs="宋体"/>
                <w:b/>
                <w:sz w:val="21"/>
                <w:szCs w:val="21"/>
                <w:lang w:eastAsia="zh-CN"/>
              </w:rPr>
              <w:t>单位性质</w:t>
            </w:r>
          </w:p>
        </w:tc>
        <w:tc>
          <w:tcPr>
            <w:tcW w:w="5387" w:type="dxa"/>
            <w:vAlign w:val="center"/>
          </w:tcPr>
          <w:p>
            <w:pPr>
              <w:pStyle w:val="11"/>
              <w:jc w:val="center"/>
              <w:rPr>
                <w:rFonts w:cs="宋体"/>
                <w:b/>
                <w:spacing w:val="2"/>
                <w:sz w:val="28"/>
                <w:szCs w:val="28"/>
                <w:lang w:eastAsia="zh-CN"/>
              </w:rPr>
            </w:pPr>
            <w:r>
              <w:rPr>
                <w:rFonts w:ascii="宋体" w:hAnsi="宋体" w:eastAsia="宋体" w:cs="宋体"/>
                <w:b/>
                <w:sz w:val="21"/>
                <w:szCs w:val="21"/>
                <w:lang w:eastAsia="zh-CN"/>
              </w:rPr>
              <w:t>对本</w:t>
            </w:r>
            <w:r>
              <w:rPr>
                <w:rFonts w:ascii="宋体" w:hAnsi="宋体" w:eastAsia="宋体" w:cs="宋体"/>
                <w:b/>
                <w:spacing w:val="-3"/>
                <w:sz w:val="21"/>
                <w:szCs w:val="21"/>
                <w:lang w:eastAsia="zh-CN"/>
              </w:rPr>
              <w:t>项</w:t>
            </w:r>
            <w:r>
              <w:rPr>
                <w:rFonts w:ascii="宋体" w:hAnsi="宋体" w:eastAsia="宋体" w:cs="宋体"/>
                <w:b/>
                <w:sz w:val="21"/>
                <w:szCs w:val="21"/>
                <w:lang w:eastAsia="zh-CN"/>
              </w:rPr>
              <w:t>目</w:t>
            </w:r>
            <w:r>
              <w:rPr>
                <w:rFonts w:ascii="宋体" w:hAnsi="宋体" w:eastAsia="宋体" w:cs="宋体"/>
                <w:b/>
                <w:spacing w:val="-3"/>
                <w:sz w:val="21"/>
                <w:szCs w:val="21"/>
                <w:lang w:eastAsia="zh-CN"/>
              </w:rPr>
              <w:t>科</w:t>
            </w:r>
            <w:r>
              <w:rPr>
                <w:rFonts w:ascii="宋体" w:hAnsi="宋体" w:eastAsia="宋体" w:cs="宋体"/>
                <w:b/>
                <w:sz w:val="21"/>
                <w:szCs w:val="21"/>
                <w:lang w:eastAsia="zh-CN"/>
              </w:rPr>
              <w:t>技</w:t>
            </w:r>
            <w:r>
              <w:rPr>
                <w:rFonts w:ascii="宋体" w:hAnsi="宋体" w:eastAsia="宋体" w:cs="宋体"/>
                <w:b/>
                <w:spacing w:val="-3"/>
                <w:sz w:val="21"/>
                <w:szCs w:val="21"/>
                <w:lang w:eastAsia="zh-CN"/>
              </w:rPr>
              <w:t>创</w:t>
            </w:r>
            <w:r>
              <w:rPr>
                <w:rFonts w:ascii="宋体" w:hAnsi="宋体" w:eastAsia="宋体" w:cs="宋体"/>
                <w:b/>
                <w:sz w:val="21"/>
                <w:szCs w:val="21"/>
                <w:lang w:eastAsia="zh-CN"/>
              </w:rPr>
              <w:t>新</w:t>
            </w:r>
            <w:r>
              <w:rPr>
                <w:rFonts w:ascii="宋体" w:hAnsi="宋体" w:eastAsia="宋体" w:cs="宋体"/>
                <w:b/>
                <w:spacing w:val="-3"/>
                <w:sz w:val="21"/>
                <w:szCs w:val="21"/>
                <w:lang w:eastAsia="zh-CN"/>
              </w:rPr>
              <w:t>和</w:t>
            </w:r>
            <w:r>
              <w:rPr>
                <w:rFonts w:ascii="宋体" w:hAnsi="宋体" w:eastAsia="宋体" w:cs="宋体"/>
                <w:b/>
                <w:sz w:val="21"/>
                <w:szCs w:val="21"/>
                <w:lang w:eastAsia="zh-CN"/>
              </w:rPr>
              <w:t>推</w:t>
            </w:r>
            <w:r>
              <w:rPr>
                <w:rFonts w:ascii="宋体" w:hAnsi="宋体" w:eastAsia="宋体" w:cs="宋体"/>
                <w:b/>
                <w:spacing w:val="-3"/>
                <w:sz w:val="21"/>
                <w:szCs w:val="21"/>
                <w:lang w:eastAsia="zh-CN"/>
              </w:rPr>
              <w:t>广</w:t>
            </w:r>
            <w:r>
              <w:rPr>
                <w:rFonts w:ascii="宋体" w:hAnsi="宋体" w:eastAsia="宋体" w:cs="宋体"/>
                <w:b/>
                <w:sz w:val="21"/>
                <w:szCs w:val="21"/>
                <w:lang w:eastAsia="zh-CN"/>
              </w:rPr>
              <w:t>应用</w:t>
            </w:r>
            <w:r>
              <w:rPr>
                <w:rFonts w:ascii="宋体" w:hAnsi="宋体" w:eastAsia="宋体" w:cs="宋体"/>
                <w:b/>
                <w:spacing w:val="-3"/>
                <w:sz w:val="21"/>
                <w:szCs w:val="21"/>
                <w:lang w:eastAsia="zh-CN"/>
              </w:rPr>
              <w:t>的</w:t>
            </w:r>
            <w:r>
              <w:rPr>
                <w:rFonts w:ascii="宋体" w:hAnsi="宋体" w:eastAsia="宋体" w:cs="宋体"/>
                <w:b/>
                <w:sz w:val="21"/>
                <w:szCs w:val="21"/>
                <w:lang w:eastAsia="zh-CN"/>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17" w:type="dxa"/>
            <w:vAlign w:val="center"/>
          </w:tcPr>
          <w:p>
            <w:pPr>
              <w:pStyle w:val="11"/>
              <w:jc w:val="center"/>
              <w:rPr>
                <w:rFonts w:ascii="宋体" w:hAnsi="宋体" w:eastAsia="宋体" w:cs="宋体"/>
                <w:sz w:val="21"/>
                <w:szCs w:val="21"/>
              </w:rPr>
            </w:pPr>
            <w:r>
              <w:rPr>
                <w:rFonts w:ascii="宋体" w:hAnsi="宋体" w:eastAsia="宋体" w:cs="宋体"/>
                <w:sz w:val="21"/>
                <w:szCs w:val="21"/>
              </w:rPr>
              <w:t>1</w:t>
            </w:r>
          </w:p>
        </w:tc>
        <w:tc>
          <w:tcPr>
            <w:tcW w:w="1134" w:type="dxa"/>
            <w:vAlign w:val="center"/>
          </w:tcPr>
          <w:p>
            <w:pPr>
              <w:pStyle w:val="11"/>
              <w:ind w:left="97"/>
              <w:jc w:val="center"/>
              <w:rPr>
                <w:rFonts w:ascii="宋体" w:hAnsi="宋体" w:eastAsia="宋体" w:cs="宋体"/>
                <w:sz w:val="21"/>
                <w:szCs w:val="21"/>
              </w:rPr>
            </w:pPr>
            <w:r>
              <w:rPr>
                <w:rFonts w:hint="eastAsia" w:ascii="宋体" w:hAnsi="宋体" w:eastAsia="宋体" w:cs="宋体"/>
                <w:sz w:val="21"/>
                <w:szCs w:val="21"/>
                <w:lang w:eastAsia="zh-CN"/>
              </w:rPr>
              <w:t>内江师范学院</w:t>
            </w:r>
          </w:p>
        </w:tc>
        <w:tc>
          <w:tcPr>
            <w:tcW w:w="1134" w:type="dxa"/>
            <w:vAlign w:val="center"/>
          </w:tcPr>
          <w:p>
            <w:pPr>
              <w:pStyle w:val="11"/>
              <w:ind w:left="98"/>
              <w:jc w:val="center"/>
              <w:rPr>
                <w:rFonts w:ascii="宋体" w:hAnsi="宋体" w:eastAsia="宋体" w:cs="宋体"/>
                <w:sz w:val="21"/>
                <w:szCs w:val="21"/>
              </w:rPr>
            </w:pPr>
            <w:r>
              <w:rPr>
                <w:rFonts w:ascii="宋体" w:hAnsi="宋体" w:eastAsia="宋体" w:cs="宋体"/>
                <w:sz w:val="21"/>
                <w:szCs w:val="21"/>
              </w:rPr>
              <w:t>事业单位</w:t>
            </w:r>
          </w:p>
        </w:tc>
        <w:tc>
          <w:tcPr>
            <w:tcW w:w="5387" w:type="dxa"/>
          </w:tcPr>
          <w:p>
            <w:pPr>
              <w:pStyle w:val="3"/>
              <w:spacing w:line="390" w:lineRule="exact"/>
              <w:ind w:firstLine="420"/>
              <w:rPr>
                <w:rFonts w:ascii="宋体" w:hAnsi="宋体" w:cs="宋体"/>
                <w:sz w:val="21"/>
                <w:szCs w:val="21"/>
                <w:lang w:val="en-US"/>
              </w:rPr>
            </w:pPr>
            <w:r>
              <w:rPr>
                <w:rFonts w:hint="eastAsia" w:ascii="Times New Roman"/>
                <w:sz w:val="21"/>
                <w:szCs w:val="21"/>
              </w:rPr>
              <w:t>对第1、2、3、4创新点有重大关键贡献。</w:t>
            </w:r>
            <w:r>
              <w:rPr>
                <w:rFonts w:ascii="Times New Roman"/>
                <w:sz w:val="21"/>
                <w:szCs w:val="21"/>
              </w:rPr>
              <w:t>作为本项目的完成单位，率先开展同位素在湿地生态系统中的应用研究，主要进行设计与实施，稳定同位素技术开发、解决达操作过程中精细度不够，提高监测效率，并进行了应用和推广及提出相关保护建议，取得了显著的生态效益和社会效益。</w:t>
            </w:r>
          </w:p>
        </w:tc>
      </w:tr>
    </w:tbl>
    <w:p>
      <w:pPr>
        <w:pStyle w:val="2"/>
        <w:spacing w:line="340" w:lineRule="auto"/>
        <w:ind w:left="0" w:right="3001" w:firstLine="567"/>
        <w:rPr>
          <w:rFonts w:cs="宋体"/>
          <w:b/>
          <w:spacing w:val="2"/>
          <w:sz w:val="28"/>
          <w:szCs w:val="28"/>
          <w:lang w:eastAsia="zh-CN"/>
        </w:rPr>
      </w:pPr>
      <w:r>
        <w:rPr>
          <w:rFonts w:hint="eastAsia" w:cs="宋体"/>
          <w:b/>
          <w:spacing w:val="2"/>
          <w:sz w:val="28"/>
          <w:szCs w:val="28"/>
          <w:lang w:eastAsia="zh-CN"/>
        </w:rPr>
        <w:t>九、合作人合作关系说明</w:t>
      </w:r>
    </w:p>
    <w:p>
      <w:pPr>
        <w:spacing w:line="360" w:lineRule="auto"/>
        <w:ind w:firstLine="566" w:firstLineChars="236"/>
        <w:rPr>
          <w:sz w:val="24"/>
          <w:szCs w:val="24"/>
          <w:lang w:eastAsia="zh-CN"/>
        </w:rPr>
      </w:pPr>
      <w:r>
        <w:rPr>
          <w:sz w:val="24"/>
          <w:szCs w:val="24"/>
          <w:lang w:eastAsia="zh-CN"/>
        </w:rPr>
        <w:t>本项目由内江师范学院李斌、徐丹丹、陶敏和王永明共同完成的，其中李斌为第一完成人，主要负责项目的总体安排，具体负责同位素在湿地生态系统中技术体系研究，本人在该项目中投入的工作量占到本人工作量的80%以上；第二完成人徐丹丹，主要对项目同位素在湿地系统中的应用等工作提出建设性意见，参与项目的组织与实施，本人在该项目中投入的工作量占到本人工作量的70%以上；第三完成人陶敏，主要实施同位素测试、数据统计与分析，本人在该项目中投入的工作量占到本人工作量的50%以上；第四完成人王永明，主要实施同位素在湿地生态系统中的具体应用，本人在该项目中投入的工作量占到本人工作量的40%以上。</w:t>
      </w:r>
    </w:p>
    <w:p>
      <w:pPr>
        <w:spacing w:line="360" w:lineRule="auto"/>
        <w:ind w:firstLine="566" w:firstLineChars="236"/>
        <w:rPr>
          <w:sz w:val="24"/>
          <w:szCs w:val="24"/>
          <w:lang w:eastAsia="zh-CN"/>
        </w:rPr>
      </w:pPr>
    </w:p>
    <w:p>
      <w:pPr>
        <w:spacing w:line="360" w:lineRule="auto"/>
        <w:ind w:firstLine="566" w:firstLineChars="236"/>
        <w:jc w:val="right"/>
        <w:rPr>
          <w:sz w:val="24"/>
          <w:szCs w:val="24"/>
          <w:lang w:eastAsia="zh-CN"/>
        </w:rPr>
      </w:pPr>
      <w:r>
        <w:rPr>
          <w:rFonts w:hint="eastAsia"/>
          <w:sz w:val="24"/>
          <w:szCs w:val="24"/>
          <w:lang w:eastAsia="zh-CN"/>
        </w:rPr>
        <w:t>公示单位盖章</w:t>
      </w:r>
    </w:p>
    <w:p>
      <w:pPr>
        <w:spacing w:line="360" w:lineRule="auto"/>
        <w:ind w:firstLine="566" w:firstLineChars="236"/>
        <w:jc w:val="right"/>
        <w:rPr>
          <w:sz w:val="24"/>
          <w:szCs w:val="24"/>
          <w:lang w:eastAsia="zh-CN"/>
        </w:rPr>
      </w:pPr>
      <w:r>
        <w:rPr>
          <w:sz w:val="24"/>
          <w:szCs w:val="24"/>
          <w:lang w:eastAsia="zh-CN"/>
        </w:rPr>
        <w:t>2020</w:t>
      </w:r>
      <w:r>
        <w:rPr>
          <w:rFonts w:hint="eastAsia"/>
          <w:sz w:val="24"/>
          <w:szCs w:val="24"/>
          <w:lang w:eastAsia="zh-CN"/>
        </w:rPr>
        <w:t>年5月13日</w:t>
      </w:r>
    </w:p>
    <w:sectPr>
      <w:footerReference r:id="rId3" w:type="default"/>
      <w:pgSz w:w="11902" w:h="16840"/>
      <w:pgMar w:top="1440" w:right="180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76BAA"/>
    <w:rsid w:val="00176BAA"/>
    <w:rsid w:val="001F28C1"/>
    <w:rsid w:val="002638F1"/>
    <w:rsid w:val="00331B82"/>
    <w:rsid w:val="00366D71"/>
    <w:rsid w:val="0042159B"/>
    <w:rsid w:val="004D5F47"/>
    <w:rsid w:val="005B3C04"/>
    <w:rsid w:val="006530A9"/>
    <w:rsid w:val="00795700"/>
    <w:rsid w:val="007E5E29"/>
    <w:rsid w:val="00920625"/>
    <w:rsid w:val="00A129AD"/>
    <w:rsid w:val="00AA4BB5"/>
    <w:rsid w:val="00AF1810"/>
    <w:rsid w:val="00C93E4E"/>
    <w:rsid w:val="00CA08EA"/>
    <w:rsid w:val="00DB56D8"/>
    <w:rsid w:val="00E12945"/>
    <w:rsid w:val="4F5C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sz w:val="24"/>
      <w:szCs w:val="24"/>
    </w:rPr>
  </w:style>
  <w:style w:type="paragraph" w:styleId="3">
    <w:name w:val="Plain Text"/>
    <w:basedOn w:val="1"/>
    <w:link w:val="15"/>
    <w:qFormat/>
    <w:uiPriority w:val="0"/>
    <w:pPr>
      <w:spacing w:line="360" w:lineRule="auto"/>
      <w:ind w:firstLine="480" w:firstLineChars="200"/>
      <w:jc w:val="both"/>
    </w:pPr>
    <w:rPr>
      <w:rFonts w:ascii="仿宋_GB2312" w:hAnsi="Times New Roman" w:eastAsia="宋体" w:cs="Times New Roman"/>
      <w:kern w:val="2"/>
      <w:sz w:val="24"/>
      <w:szCs w:val="20"/>
      <w:lang w:val="zh-CN" w:eastAsia="zh-CN"/>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纯文本 Char"/>
    <w:basedOn w:val="8"/>
    <w:semiHidden/>
    <w:uiPriority w:val="99"/>
    <w:rPr>
      <w:rFonts w:ascii="宋体" w:hAnsi="Courier New" w:eastAsia="宋体" w:cs="Courier New"/>
      <w:sz w:val="21"/>
      <w:szCs w:val="21"/>
    </w:rPr>
  </w:style>
  <w:style w:type="character" w:customStyle="1" w:styleId="15">
    <w:name w:val="纯文本 Char1"/>
    <w:link w:val="3"/>
    <w:qFormat/>
    <w:uiPriority w:val="0"/>
    <w:rPr>
      <w:rFonts w:ascii="仿宋_GB2312" w:hAnsi="Times New Roman" w:eastAsia="宋体" w:cs="Times New Roman"/>
      <w:kern w:val="2"/>
      <w:sz w:val="24"/>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B70EF-36A4-48DA-9383-ED43BEA007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444</Words>
  <Characters>2537</Characters>
  <Lines>21</Lines>
  <Paragraphs>5</Paragraphs>
  <TotalTime>89</TotalTime>
  <ScaleCrop>false</ScaleCrop>
  <LinksUpToDate>false</LinksUpToDate>
  <CharactersWithSpaces>2976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2020-05-12T15:01:00Z</dcterms:created>
  <dc:creator>Tencent</dc:creator>
  <cp:lastModifiedBy>lbxy</cp:lastModifiedBy>
  <dcterms:modified xsi:type="dcterms:W3CDTF">2020-05-13T02:06:26Z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LastSaved">
    <vt:filetime>2020-05-12T00:00:00Z</vt:filetime>
  </property>
  <property fmtid="{D5CDD505-2E9C-101B-9397-08002B2CF9AE}" pid="4" name="KSOProductBuildVer">
    <vt:lpwstr>2052-11.1.0.9584</vt:lpwstr>
  </property>
</Properties>
</file>